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Calibri" w:hAnsi="Calibri" w:eastAsia="Calibri"/>
          <w:b/>
          <w:b/>
          <w:sz w:val="20"/>
          <w:szCs w:val="20"/>
          <w:lang w:eastAsia="en-US"/>
        </w:rPr>
      </w:pPr>
      <w:r>
        <w:rPr>
          <w:rFonts w:eastAsia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/>
          <w:b/>
          <w:b/>
          <w:sz w:val="20"/>
          <w:szCs w:val="20"/>
          <w:lang w:eastAsia="en-US"/>
        </w:rPr>
      </w:pPr>
      <w:r>
        <w:rPr>
          <w:rFonts w:eastAsia="Calibri" w:ascii="Calibri" w:hAnsi="Calibri"/>
          <w:b/>
          <w:sz w:val="20"/>
          <w:szCs w:val="20"/>
          <w:lang w:eastAsia="en-US"/>
        </w:rPr>
      </w:r>
    </w:p>
    <w:tbl>
      <w:tblPr>
        <w:tblW w:w="10337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4"/>
        <w:gridCol w:w="369"/>
        <w:gridCol w:w="256"/>
        <w:gridCol w:w="956"/>
        <w:gridCol w:w="33"/>
        <w:gridCol w:w="593"/>
        <w:gridCol w:w="141"/>
        <w:gridCol w:w="53"/>
        <w:gridCol w:w="787"/>
        <w:gridCol w:w="11"/>
        <w:gridCol w:w="570"/>
        <w:gridCol w:w="206"/>
        <w:gridCol w:w="325"/>
        <w:gridCol w:w="462"/>
        <w:gridCol w:w="70"/>
        <w:gridCol w:w="397"/>
        <w:gridCol w:w="186"/>
        <w:gridCol w:w="523"/>
        <w:gridCol w:w="96"/>
        <w:gridCol w:w="327"/>
        <w:gridCol w:w="101"/>
        <w:gridCol w:w="280"/>
        <w:gridCol w:w="86"/>
        <w:gridCol w:w="24"/>
        <w:gridCol w:w="31"/>
        <w:gridCol w:w="53"/>
        <w:gridCol w:w="93"/>
        <w:gridCol w:w="839"/>
        <w:gridCol w:w="240"/>
        <w:gridCol w:w="540"/>
        <w:gridCol w:w="1054"/>
        <w:gridCol w:w="9"/>
      </w:tblGrid>
      <w:tr>
        <w:trPr>
          <w:trHeight w:val="397" w:hRule="atLeast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>
                <w:rFonts w:ascii="Calibri" w:hAnsi="Calibri" w:eastAsia="Calibr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/>
                <w:sz w:val="16"/>
                <w:szCs w:val="16"/>
                <w:lang w:eastAsia="en-US"/>
              </w:rPr>
              <w:t>04.5_Z2PN_</w:t>
            </w:r>
            <w:r>
              <w:rPr>
                <w:rFonts w:eastAsia="Calibri" w:ascii="Calibri" w:hAnsi="Calibri"/>
                <w:color w:val="000000"/>
                <w:sz w:val="16"/>
                <w:szCs w:val="16"/>
                <w:lang w:eastAsia="en-US"/>
              </w:rPr>
              <w:t>Aprgo0319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gospodarcze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val="en-GB" w:eastAsia="en-US"/>
              </w:rPr>
              <w:t>Economic law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Ekonomii i Zarządzania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stacjonarne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II stopień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podstawowy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Calibri" w:cs="Verdana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Magdalena Górska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Verdana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Magdalena Górska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3823" w:type="dxa"/>
            <w:gridSpan w:val="10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Liczba godzin zajęć w sem.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2</w:t>
            </w: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6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P – projekt, Wa – warsztaty, ZP – zajęcia praktyczne, Pr – praktyka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3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polski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 w:ascii="Calibri" w:hAnsi="Calibri"/>
                <w:kern w:val="0"/>
                <w:sz w:val="22"/>
                <w:szCs w:val="22"/>
                <w:lang w:eastAsia="pl-PL" w:bidi="ar-SA"/>
              </w:rPr>
              <w:t>Brak wymagań wstępnych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  <w:r>
              <w:rPr>
                <w:rFonts w:eastAsia="Times" w:cs="Times" w:ascii="Calibri" w:hAnsi="Calibri"/>
                <w:color w:val="000000"/>
                <w:sz w:val="20"/>
                <w:szCs w:val="20"/>
                <w:shd w:fill="FFFFFF" w:val="clear"/>
                <w:lang w:eastAsia="en-US"/>
              </w:rPr>
              <w:t xml:space="preserve"> Celem kształcenia jest zdobycie wiedzy z zakresu prawa gospodarczego w tym zasad prowadzenia działalności gospodarczej, zrozumienie regulacji dotyczących poszczególnych przedsiębiorców, poznanie wad i zalet poszczególnych form prowadzenia działalności gospodarczej oraz norm prawnych w zakresie umów zawieranych w obrocie gospodarczym, a także zaznajomienie się z możliwymi problemami występującymi w tym obszarze. </w:t>
            </w:r>
          </w:p>
          <w:p>
            <w:pPr>
              <w:pStyle w:val="Normal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kern w:val="2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Batang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Cs/>
                <w:sz w:val="20"/>
                <w:szCs w:val="20"/>
              </w:rPr>
              <w:t>- wykład z prezentacją multimedialną,</w:t>
            </w:r>
          </w:p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Batang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Cs/>
                <w:sz w:val="20"/>
                <w:szCs w:val="20"/>
              </w:rPr>
              <w:t>- dyskusja,</w:t>
            </w:r>
          </w:p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Batang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Cs/>
                <w:sz w:val="20"/>
                <w:szCs w:val="20"/>
              </w:rPr>
              <w:t>- praca w grupach,</w:t>
            </w:r>
          </w:p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Batang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Cs/>
                <w:sz w:val="20"/>
                <w:szCs w:val="20"/>
              </w:rPr>
              <w:t>- studium przypadku, itp.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/>
                <w:sz w:val="20"/>
                <w:szCs w:val="20"/>
              </w:rPr>
              <w:t xml:space="preserve">Opis efektów uczenia się </w:t>
            </w:r>
            <w:r>
              <w:rPr>
                <w:rStyle w:val="Domylnaczcionkaakapitu1"/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dla przedmiotu 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8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18"/>
                <w:szCs w:val="18"/>
              </w:rPr>
              <w:t>SYMBOL (odniesienie kierunkowych efektów uczenia się do charakterystyk drugiego stopnia dla: poziomu 7 Polskiej Ramy Kwalifikacji)*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Zna i rozumie w pogłębionym stopniu wiedzę o uczestnikach procesów gospodarczych zarówno w skali mikro, jak i makro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K_W10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P7S_WG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P7S_WK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Zna i rozumie w pogłębionym stopniu systemową wiedzę o różnych organizacjach społeczno-ekonomicznych, ich specyfikę i wzajemne uwarunkowania w ich funkcjonowaniu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K_W07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color w:val="FF0000"/>
                <w:sz w:val="20"/>
                <w:szCs w:val="20"/>
              </w:rPr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P7S_WG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P7S_WK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UMIEJĘTNOŚCI 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potrafi generować rozwiązania konkretnych problemów gospodarczych i społecznych oraz prognozować przebieg ich rozwiązywania oraz przewidywać skutki planowanych działań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K_U07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P7S_UW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potrafi posługiwać się wybranymi regułami prawnymi w rozwiązywaniu konkretnych zadań z zakresu zarządzania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K_U08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 xml:space="preserve">P7S_UW P7S_UO </w:t>
            </w:r>
          </w:p>
          <w:p>
            <w:pPr>
              <w:pStyle w:val="Normal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P7S_UK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KOMPETENCJE SPOŁECZNE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Jest gotów do uznawania znaczenia wiedzy w rozwiązywaniu problemów poznawczych i praktycznych oraz zasięgania opinii ekspertów w przypadku trudności z samodzielnym rozwiązaniem problemu; ma przekonanie o potrzebie ciągłego uzupełniania i doskonalenia własnej wiedzy i umiejętności, jest w stanie właściwie zidentyfikować jej źródła i zakres w ujęciu interdyscyplinarnym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" w:hAnsi="Calibr" w:cs="Times New Roman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  <w:t>K_K10</w:t>
            </w:r>
          </w:p>
          <w:p>
            <w:pPr>
              <w:pStyle w:val="Normal"/>
              <w:spacing w:lineRule="auto" w:line="240"/>
              <w:jc w:val="center"/>
              <w:rPr>
                <w:rFonts w:ascii="Calibr" w:hAnsi="Calibr" w:cs="Times New Roman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" w:hAnsi="Calibr" w:cs="Times New Roman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  <w:t>P7S_KK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Jest gotów do wypełniania zobowiązań społecznych, inspirowania i organizowania działalności na rzecz środowiska społecznego; ma przekonanie o sensie, wartości i potrzebie podejmowania działań gospodarczych w środowisku społecznym; jest gotów do podejmowania wyzwań zawodowych; wykazuje aktywność, podejmuje trud i odznacza się wytrwałością w realizacji indywidualnych i zespołowych działań profesjonalnych w zakresie zarządzania, uwzględniając teoretyczne i praktyczne przesłanki zarządzania ryzykiem.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" w:hAnsi="Calibr"/>
                <w:sz w:val="20"/>
                <w:szCs w:val="20"/>
                <w:lang w:eastAsia="en-US"/>
              </w:rPr>
            </w:pPr>
            <w:r>
              <w:rPr>
                <w:rFonts w:ascii="Calibr" w:hAnsi="Calibr"/>
                <w:sz w:val="20"/>
                <w:szCs w:val="20"/>
                <w:lang w:eastAsia="en-US"/>
              </w:rPr>
              <w:t>K_K11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jc w:val="center"/>
              <w:rPr>
                <w:rFonts w:ascii="Calibr" w:hAnsi="Calibr" w:cs="Times New Roman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  <w:t>P7S_KR</w:t>
            </w:r>
          </w:p>
          <w:p>
            <w:pPr>
              <w:pStyle w:val="Normal"/>
              <w:jc w:val="center"/>
              <w:rPr>
                <w:rFonts w:ascii="Calibr" w:hAnsi="Calibr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  <w:t>P7S_KO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Metody weryfikacji efektów uczenia się </w:t>
            </w:r>
            <w:r>
              <w:rPr>
                <w:rStyle w:val="Domylnaczcionkaakapitu1"/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eastAsia="en-US"/>
              </w:rPr>
              <w:t>dla przedmiotu w odniesieniu do form zajęć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  <w:cantSplit w:val="true"/>
        </w:trPr>
        <w:tc>
          <w:tcPr>
            <w:tcW w:w="22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8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Forma zajęć dydaktycznych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84" w:hRule="atLeast"/>
          <w:cantSplit w:val="true"/>
        </w:trPr>
        <w:tc>
          <w:tcPr>
            <w:tcW w:w="2238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inne (zadania na e.wseip.edu.pl)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9" w:hRule="exac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9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6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7" w:hRule="exac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7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56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Treść przedmiotu uczenia się(program wykładów i pozostałych zajęć)</w:t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56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ind w:left="318" w:hanging="0"/>
              <w:jc w:val="both"/>
              <w:textAlignment w:val="auto"/>
              <w:rPr>
                <w:rFonts w:ascii="Calibri" w:hAnsi="Calibri"/>
                <w:b/>
                <w:b/>
                <w:color w:val="000000"/>
              </w:rPr>
            </w:pPr>
            <w:bookmarkStart w:id="0" w:name="maindiv"/>
            <w:bookmarkEnd w:id="0"/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WYKŁADY: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1. Podstawowe pojęcia z zakresu prawa gospodarczego: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działalność gospodarcza,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 xml:space="preserve">- przedsiębiorca, 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konsument,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firma,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prokura,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pełnomocnik.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2. Zasady prowadzenia działalności gospodarczej.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3. Formy organizacyjno-prawne przedsiębiorców: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jednoosobowa działalność gospodarcza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cywilna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jawna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partnerska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komandytowa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komandytowo-akcyjna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z o.o.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prosta spółka akcyjna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akcyjna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4. Wady i zalety poszczególnych form prowadzenia działalności gospodarczej.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5. Obowiązki przedsiębiorców.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6. Centralna Ewidencja i Informacja o Działalności Gospodarczej, Rejestr Przedsiębiorców, Krajowy Rejestr Sądowy.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7. Umowy handlowe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 xml:space="preserve">- formy czynności prawnych 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podstawowe zagadnienia prawa cywilnego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umowy pomiędzy przedsiębiorcami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umowy zawierane  z konsumentami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umowy nazwane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umowy nienazwane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wybrane klauzule umowne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8. Sprawy z zakresu obrotu gospodarczego.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</w:r>
          </w:p>
          <w:p>
            <w:pPr>
              <w:pStyle w:val="Normal"/>
              <w:rPr>
                <w:rFonts w:ascii="Calibri" w:hAnsi="Calibri" w:eastAsia="Times New Roman" w:cs="Calibri"/>
                <w:b/>
                <w:b/>
                <w:bCs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b/>
                <w:bCs/>
                <w:sz w:val="20"/>
                <w:szCs w:val="20"/>
                <w:lang w:eastAsia="ar-SA" w:bidi="ar-SA"/>
              </w:rPr>
              <w:t>ĆWICZENIA</w:t>
            </w:r>
          </w:p>
          <w:p>
            <w:pPr>
              <w:pStyle w:val="Normal"/>
              <w:rPr>
                <w:rFonts w:ascii="Calibri" w:hAnsi="Calibri" w:eastAsia="Times New Roman" w:cs="Calibri"/>
                <w:b/>
                <w:b/>
                <w:bCs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b/>
                <w:bCs/>
                <w:sz w:val="20"/>
                <w:szCs w:val="20"/>
                <w:lang w:eastAsia="ar-SA" w:bidi="ar-SA"/>
              </w:rPr>
            </w:r>
          </w:p>
          <w:p>
            <w:pPr>
              <w:pStyle w:val="ListParagraph"/>
              <w:numPr>
                <w:ilvl w:val="0"/>
                <w:numId w:val="1"/>
              </w:numPr>
              <w:ind w:left="351" w:hanging="36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Zasady dotyczące ważności umów handlowych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 xml:space="preserve">- formy czynności prawnych 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zasady reprezentacji podmiotów gospodarczych</w:t>
            </w:r>
          </w:p>
          <w:p>
            <w:pPr>
              <w:pStyle w:val="ListParagraph"/>
              <w:numPr>
                <w:ilvl w:val="0"/>
                <w:numId w:val="1"/>
              </w:numPr>
              <w:ind w:left="351" w:hanging="36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Pełnomocnictwo</w:t>
            </w:r>
          </w:p>
          <w:p>
            <w:pPr>
              <w:pStyle w:val="ListParagraph"/>
              <w:numPr>
                <w:ilvl w:val="0"/>
                <w:numId w:val="1"/>
              </w:numPr>
              <w:ind w:left="351" w:hanging="36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Sporządzanie prostych umów handlowych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elementy konstrukcyjne umowy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 xml:space="preserve">- komparycja 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konieczne postanowienia umowne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wybrane klauzule umowne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postanowienia końcowe</w:t>
            </w:r>
          </w:p>
          <w:p>
            <w:pPr>
              <w:pStyle w:val="ListParagraph"/>
              <w:numPr>
                <w:ilvl w:val="0"/>
                <w:numId w:val="1"/>
              </w:numPr>
              <w:ind w:left="351" w:hanging="36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Wybrane klauzule umowne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odpowiedzialność za nienależyte wykonywanie zobowiązania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 xml:space="preserve">- kary umowne 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odstąpienie od umowy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rozwiązanie i wypowiedzenie umowy.</w:t>
            </w:r>
          </w:p>
          <w:p>
            <w:pPr>
              <w:pStyle w:val="ListParagraph"/>
              <w:widowControl w:val="false"/>
              <w:ind w:left="0" w:hanging="0"/>
              <w:jc w:val="both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  <w:t>W1, W2,</w:t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  <w:t>U1, U2,</w:t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  <w:t>K1, K2</w:t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20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Web"/>
              <w:spacing w:beforeAutospacing="0" w:before="0" w:after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cs="Tahoma" w:ascii="Tahoma" w:hAnsi="Tahoma"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Arial" w:ascii="Calibri" w:hAnsi="Calibri"/>
                <w:kern w:val="0"/>
                <w:sz w:val="20"/>
                <w:szCs w:val="20"/>
                <w:lang w:eastAsia="pl-PL" w:bidi="ar-SA"/>
              </w:rPr>
              <w:t xml:space="preserve">Wojciech Jan Katner (red.), Prawo gospodarcze i handlowe, Wolters Kluwer, 2020 r. 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Arial" w:ascii="Calibri" w:hAnsi="Calibri"/>
                <w:kern w:val="0"/>
                <w:sz w:val="20"/>
                <w:szCs w:val="20"/>
                <w:lang w:eastAsia="pl-PL" w:bidi="ar-SA"/>
              </w:rPr>
              <w:t xml:space="preserve">Bogusława Gnela, Prawo handlowe dla ekonomistów, Wolters Kluwer, 2019 r. </w:t>
            </w:r>
          </w:p>
          <w:p>
            <w:pPr>
              <w:pStyle w:val="NormalWeb"/>
              <w:spacing w:beforeAutospacing="0" w:before="0" w:afterAutospacing="0" w:after="0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</w:p>
          <w:p>
            <w:pPr>
              <w:pStyle w:val="NormalWeb"/>
              <w:spacing w:beforeAutospacing="0" w:before="0" w:afterAutospacing="0" w:after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Aleksander Chłopecki, Katarzyna Bilewska, Prawo handlowe C.H. Beck, 2020 r. </w:t>
            </w:r>
          </w:p>
          <w:p>
            <w:pPr>
              <w:pStyle w:val="NormalWeb"/>
              <w:spacing w:beforeAutospacing="0" w:before="0" w:afterAutospacing="0" w:after="0"/>
              <w:rPr>
                <w:rFonts w:ascii="Calibri" w:hAnsi="Calibri" w:eastAsia="Batang" w:cs="NimbusRomNo9L-Regu" w:asciiTheme="minorHAnsi" w:hAnsiTheme="minorHAnsi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cs="Arial" w:ascii="Calibri" w:hAnsi="Calibri"/>
                <w:sz w:val="20"/>
                <w:szCs w:val="20"/>
              </w:rPr>
              <w:t xml:space="preserve">A. Kidyba, Kodeks spółek handlowych, t I i II Komentarz, </w:t>
            </w:r>
            <w:r>
              <w:rPr>
                <w:rFonts w:cs="Open Sans" w:ascii="Open Sans" w:hAnsi="Open Sans"/>
                <w:color w:val="333333"/>
                <w:sz w:val="18"/>
                <w:szCs w:val="18"/>
                <w:shd w:fill="FFFFFF" w:val="clear"/>
              </w:rPr>
              <w:t>LEX/el. 2020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>
                <w:rFonts w:ascii="Calibri" w:hAnsi="Calibri" w:eastAsia="Calibri"/>
                <w:kern w:val="2"/>
                <w:lang w:eastAsia="en-US"/>
              </w:rPr>
            </w:pPr>
            <w:r>
              <w:rPr>
                <w:rFonts w:eastAsia="Calibri" w:ascii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20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10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2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34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1,</w:t>
            </w: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4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15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1</w:t>
            </w: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5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–zadania na e.wseip.edu.pl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1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4</w:t>
            </w: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1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1,6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2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2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rPr>
          <w:rFonts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>
      <w:pPr>
        <w:pStyle w:val="Normal"/>
        <w:spacing w:lineRule="auto" w:line="240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">
    <w:charset w:val="ee"/>
    <w:family w:val="roman"/>
    <w:pitch w:val="variable"/>
  </w:font>
  <w:font w:name="Tahoma">
    <w:charset w:val="ee"/>
    <w:family w:val="roman"/>
    <w:pitch w:val="variable"/>
  </w:font>
  <w:font w:name="Open Sans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a15b9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da15b9"/>
    <w:rPr/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da15b9"/>
    <w:rPr>
      <w:rFonts w:ascii="Times New Roman" w:hAnsi="Times New Roman" w:eastAsia="Times New Roman" w:cs="Times New Roman"/>
      <w:kern w:val="2"/>
      <w:sz w:val="20"/>
      <w:szCs w:val="20"/>
      <w:lang w:eastAsia="pl-PL"/>
    </w:rPr>
  </w:style>
  <w:style w:type="character" w:styleId="Wyrnienie">
    <w:name w:val="Wyróżnienie"/>
    <w:basedOn w:val="DefaultParagraphFont"/>
    <w:uiPriority w:val="20"/>
    <w:qFormat/>
    <w:rsid w:val="00321b25"/>
    <w:rPr>
      <w:i/>
      <w:i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da15b9"/>
    <w:pPr>
      <w:suppressLineNumbers/>
    </w:pPr>
    <w:rPr/>
  </w:style>
  <w:style w:type="paragraph" w:styleId="ListParagraph">
    <w:name w:val="List Paragraph"/>
    <w:basedOn w:val="Normal"/>
    <w:qFormat/>
    <w:rsid w:val="00da15b9"/>
    <w:pPr>
      <w:widowControl/>
      <w:suppressAutoHyphens w:val="false"/>
      <w:spacing w:lineRule="auto" w:line="240" w:before="0" w:after="0"/>
      <w:ind w:left="720" w:hanging="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Web">
    <w:name w:val="Normal (Web)"/>
    <w:basedOn w:val="Normal"/>
    <w:uiPriority w:val="99"/>
    <w:unhideWhenUsed/>
    <w:qFormat/>
    <w:rsid w:val="00da15b9"/>
    <w:pPr>
      <w:widowControl/>
      <w:suppressAutoHyphens w:val="false"/>
      <w:spacing w:lineRule="auto" w:line="240" w:beforeAutospacing="1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rzypisdolny">
    <w:name w:val="Footnote Text"/>
    <w:basedOn w:val="Normal"/>
    <w:link w:val="TekstprzypisudolnegoZnak"/>
    <w:semiHidden/>
    <w:rsid w:val="00da15b9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kern w:val="2"/>
      <w:sz w:val="20"/>
      <w:szCs w:val="20"/>
      <w:lang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LibreOffice/6.4.6.2$Windows_X86_64 LibreOffice_project/0ce51a4fd21bff07a5c061082cc82c5ed232f115</Application>
  <Pages>5</Pages>
  <Words>1321</Words>
  <Characters>8719</Characters>
  <CharactersWithSpaces>9804</CharactersWithSpaces>
  <Paragraphs>278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2023-02-26T18:16:00Z</dcterms:created>
  <dc:creator>Emilia</dc:creator>
  <dc:description/>
  <dc:language>pl-PL</dc:language>
  <cp:lastModifiedBy/>
  <dcterms:modified xsi:type="dcterms:W3CDTF">2023-02-26T21:07:47Z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